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15" w:rsidRP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2187"/>
        <w:gridCol w:w="4050"/>
        <w:gridCol w:w="992"/>
        <w:gridCol w:w="3686"/>
      </w:tblGrid>
      <w:tr w:rsidR="009C1115" w:rsidRPr="009C1115" w:rsidTr="009C1115">
        <w:tc>
          <w:tcPr>
            <w:tcW w:w="3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«УТВЕРЖДАЮ»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Аким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Алматы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 </w:t>
            </w:r>
            <w:proofErr w:type="spellStart"/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Байбек</w:t>
            </w:r>
            <w:proofErr w:type="spellEnd"/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Б.К.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«___»__________ 2018 года</w:t>
            </w:r>
          </w:p>
        </w:tc>
        <w:tc>
          <w:tcPr>
            <w:tcW w:w="2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«УТВЕРЖДАЮ»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Агентства Республики Казахстан по делам государственной службы и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противодействию коррупции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 </w:t>
            </w:r>
            <w:proofErr w:type="spellStart"/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Шпекбаев</w:t>
            </w:r>
            <w:proofErr w:type="spellEnd"/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А.Ж.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«___»___________   2018 года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«УТВЕРЖДАЮ»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Ректор Казахского национального университета имени аль-</w:t>
            </w:r>
            <w:proofErr w:type="spellStart"/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Фараби</w:t>
            </w:r>
            <w:proofErr w:type="spellEnd"/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 </w:t>
            </w:r>
            <w:proofErr w:type="spellStart"/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Мутанов</w:t>
            </w:r>
            <w:proofErr w:type="spellEnd"/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Г.М.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«___»___________  2018 года</w:t>
            </w:r>
          </w:p>
        </w:tc>
      </w:tr>
      <w:tr w:rsidR="009C1115" w:rsidRPr="009C1115" w:rsidTr="009C1115">
        <w:tc>
          <w:tcPr>
            <w:tcW w:w="36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УСТАВ ПРОЕКТА</w:t>
      </w:r>
    </w:p>
    <w:p w:rsidR="009C1115" w:rsidRP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Саналы</w:t>
      </w:r>
      <w:proofErr w:type="spellEnd"/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ұрпақ</w:t>
      </w:r>
      <w:proofErr w:type="spellEnd"/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»</w:t>
      </w:r>
    </w:p>
    <w:p w:rsidR="009C1115" w:rsidRP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на 2018–2020 годы</w:t>
      </w:r>
    </w:p>
    <w:p w:rsidR="009C1115" w:rsidRP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P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P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P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P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P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P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9C1115" w:rsidRDefault="009C1115" w:rsidP="00BD10F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Алматы, 2018 год</w:t>
      </w:r>
    </w:p>
    <w:p w:rsidR="00BD10FA" w:rsidRDefault="00BD10FA" w:rsidP="00BD10F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BD10FA" w:rsidRPr="00BD10FA" w:rsidRDefault="00BD10FA" w:rsidP="00BD10F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Раздел 1. Миссия и стратегия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Миссия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 Проекта «</w:t>
      </w:r>
      <w:proofErr w:type="spell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Саналы</w:t>
      </w:r>
      <w:proofErr w:type="spell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ұрпақ</w:t>
      </w:r>
      <w:proofErr w:type="spell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» на 2018–2020 годы (далее – Проект): патриотичная и конкурентоспособная молодежь, нацеленная жить в Казахстане, свободного от коррупции.</w:t>
      </w:r>
      <w:bookmarkStart w:id="0" w:name="_GoBack"/>
      <w:bookmarkEnd w:id="0"/>
    </w:p>
    <w:p w:rsidR="009C1115" w:rsidRPr="009C1115" w:rsidRDefault="009C1115" w:rsidP="009C11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Цель Проекта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 — искоренение коррупции в системе образования, формирование среды всеобщего неприятия коррупции через систему образования.</w:t>
      </w:r>
    </w:p>
    <w:p w:rsidR="009C1115" w:rsidRPr="009C1115" w:rsidRDefault="009C1115" w:rsidP="009C11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Стратегия Проекта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 строится на апробации и реализации пилотных направлений с целью дальнейшего использования наилучшей практики в организациях образования страны.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Раздел 2. Анализ текущей ситуации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Основные достижения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Благодаря политике Главы государства, Казахстан реализует принципиально новую модель противодействия коррупции. Процесс осуществляется в рамках реализации Стратегии «Казахстан-2050»: Новый политический курс состоявшегося государства», </w:t>
      </w:r>
      <w:proofErr w:type="gram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которая</w:t>
      </w:r>
      <w:proofErr w:type="gram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явлением, а также Посланий Президента Республики Казахстан, Антикоррупционной стратегии Республики Казахстан на 2015-2025 годы, Пяти институциональных реформ и Плана нации «100 конкретных шагов». В этих документах заложены системные условия для противодействия коррупции и формирования в обществе нетерпимости к любым ее проявлениям.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Большая работа в сфере противодействия коррупции проводится партией «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Нұ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spellEnd"/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Отан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». Как ведущая политическая сила страны партия «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Нұ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spellEnd"/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Отан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своей важнейшей задачей ставит консолидацию всего гражданского общества по противодействию коррупции. По поручению Лидера партии Нурсултана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Абишевича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Назарбаева «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Нұ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spellEnd"/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Отан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» разработал Программу противодействия коррупции до 2025 года. Она легла в основу Антикоррупционной стратегии Республики Казахстан, утвержденной Указом Президента.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Только за последние три года принято более 60-ти законов, положения каждого из которых, направлены на минимизацию коррупции. Среди них, особое место занимают законы Республики Казахстан «О противодействии коррупции», «О государственной службе Республики Казахстан», «Об общественных советах», </w:t>
      </w: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«О коммерциализации результатов научной и (или) научно-технической деятельности»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, «О доступе к информации» и другие.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принятых системных и комплексных мер  минимизированы  административные барьеры и коррупционные риски, повышено качество оказания государственных услуг за счет введения стандартов и регламентов их оказания, обеспечен переход к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транспарентному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прозрачному государству, подотчетному перед обществом, налажено конструктивное партнерство и открытый диалог с неправительственным сектором, приняты современные и эффективные законы, повысились правосознание, правовая и антикоррупционная культура населения.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Свидетельством тому является повышение уровня доверия общества к антикоррупционной политике государства.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К инструментам противодействия коррупции в сфере образования можно отнести: Концептуальные вопросы воспитания (утверждены приказом Министерства образования и науки от 22 апреля 2015 года №227); созданные практически в каждой общеобразовательной школе и колледжах добровольные клубы «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Адал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ұрпақ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» (более 90% школ), целью которых является формирование антикоррупционной культуры в школьной среде;  Антикоррупционные хартии, подписанные всеми высшими и средними специальными (профессиональными) учебными заведениями; 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внедрение темы антикоррупционной направленности в учебные программы отдельных предметов и дисциплин на всех уровнях 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образования; Модельные учебные программы по дисциплине «Основы антикоррупционной культуры» по всем специальностям и направлениям подготовки бакалавров; Типовые программы обучения государственных служащих по вопросам противодействия коррупции; перевод  в разряд государственных услуг процесс приёма документов на конкурс по размещению государственных грантов;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создаваемые при вузах Центры обслуживания студентов, оказывающие услуги студентам по принципу «одного окна» и исключающие контакт студентов с деканатом; автоматизация государственных услуг в сфере образования, например, внедрена независимая автоматизированная система по формированию очередей и распределению мест в детских садах, разработана  информационная система «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mektepalmaty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», позволившая обеспечить прозрачность  данных о наличии свободных ученических мест в школах города;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информационно-разъяснительная программа «От Вуза к Вузу», студенческие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флешмобы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Адал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бол», «Университеты вне коррупции», «Чистая сессия» и другие.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тем, образование остается сферой, подверженной коррупции. Эксперты ОЭСР, обращая внимание на высокий уровень коррупции в сфере высшего образования, отметили необходимость принятия серьезных мер по превенции коррупции в этой сфере.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 частности, возникает потребность масштабного анализа коррупционных рисков в этой сфере, совершенствования антикоррупционного планирования, обеспечения прозрачности деятельности и проведения аккредитации, исключения внеплановых проверок, совершенствования порядка проведения закупок и т.д.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Взвешенный подход по имплементации лучшего мирового опыта, основанного на глубоком анализе ситуации в Казахстане с учетом региональных особенностей, позволит повысить качество национального законодательства, дополнить его новым содержанием, привести его в соответствие с общепризнанными принципами и нормами международного права, создать условия для повышения эффективности антикоррупционной политики</w:t>
      </w:r>
      <w:r w:rsidRPr="009C1115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u-RU"/>
        </w:rPr>
        <w:t>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Обоснование Проекта.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четверть населения страны (4,5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млн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.ч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ел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.) задействована в сфере образования (учащиеся школ, студенты колледжей, преподаватели);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2) сфера образования является фактором не только образовательного, но и духовного и культурного развития молодёжи, и именно в молодом возрасте закладываются основные жизненные принципы и человеческие ценности;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3) академическая честность является одним из основных факторов качества образования и формирования антикоррупционного сознания учащихся и студентов;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4) молодёжь, получившая багаж качественных знаний и правильных жизненных принципов, будет придерживаться антикоррупционного поведения и во взрослой жизни.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Приоритеты современной антикоррупционной политики.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 Главной отличительной чертой новой антикоррупционной политики государства является смещение акцента на профилактику коррупции. Впервые внедрены институты превенции – антикоррупционный мониторинг, а также выявление, анализ и устранение коррупционных рисков. Реализуется комплекс мер по антикоррупционному обучению и воспитанию населения, формированию атмосферы абсолютного неприятия коррупции.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Постепенно приходит понимание того, что лучшим средством избавления общества от коррупции, является ранняя профилактика, эффективная диагностика и комплексное лечение.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Антикоррупционная политика страны строится и реализуется на рациональном сочетании антикоррупционного просвещения, профилактики и наказания.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 государство не намерено ослаблять институты уголовного преследования за коррупционные преступления, поскольку неотвратимость наказания за противоправные деяния — это не только важнейший принцип законности, но и показатель обеспечения социальной справедливости.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Благодаря принимаемым мерам, коррупция перестает быть латентной.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Результаты анализа текущей ситуации позволяют выделить ключевые факторы, способствующие совершению коррупционных правонарушений, для решения которых определены основные направления Проекта: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1) антикоррупционная культура;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2) прозрачность и открытость организаций образования;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3) академическая честность;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4) антикоррупционное законодательство в сфере образования;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5) информационная поддержка.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Раздел 3. Объекты, субъекты Проекта и сроки его реализации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Основные задачи Проекта будут реализованы во всех организациях образования и на всех уровнях образования.</w:t>
      </w:r>
    </w:p>
    <w:p w:rsidR="009C1115" w:rsidRPr="009C1115" w:rsidRDefault="009C1115" w:rsidP="009C111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Срок реализация Проекта: 2018 – 2020 годы.</w:t>
      </w:r>
    </w:p>
    <w:p w:rsidR="009C1115" w:rsidRPr="009C1115" w:rsidRDefault="009C1115" w:rsidP="009C111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Объекты Проекта: детские сады, детские дома, общеобразовательные школы, средние специальные (профессиональные) и высшие учебные заведения, организации дополнительного образования, детские лагеря, исправительные учреждения для несовершеннолетних.</w:t>
      </w:r>
    </w:p>
    <w:p w:rsidR="009C1115" w:rsidRPr="009C1115" w:rsidRDefault="009C1115" w:rsidP="009C111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Субъекты Проекта: воспитанники детских садов и детских домов, учащиеся общеобразовательных школ и средних специальных (профессиональных) учебных заведений, студенты высших учебных заведений, магистранты, докторанты (далее — обучающиеся), а также преподаватели всех учебных заведений, родители, научные сотрудники.</w:t>
      </w:r>
      <w:proofErr w:type="gramEnd"/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Раздел 4. Управление Проектом           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Руководитель Проекта: Департамент Агентства Республики Казахстан по делам государственной службы и противодействию коррупции по городу Алматы (далее – Департамент Агентства).</w:t>
      </w:r>
    </w:p>
    <w:p w:rsidR="009C1115" w:rsidRPr="009C1115" w:rsidRDefault="009C1115" w:rsidP="009C111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целях координации Проекта создается Проектный офис – рабочий орган Проекта. Задачей Проектного офиса является реализация Проекта, достижение его целей, координация и контроль деятельности проектных групп. Проектный офис формируется из числа представителей Департамента Агентства, Академии государственного управления при Президенте Республики Казахстан, </w:t>
      </w:r>
      <w:proofErr w:type="spell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акимата</w:t>
      </w:r>
      <w:proofErr w:type="spell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города Алматы, </w:t>
      </w:r>
      <w:proofErr w:type="spell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КАзНУ</w:t>
      </w:r>
      <w:proofErr w:type="spell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им</w:t>
      </w:r>
      <w:proofErr w:type="gram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.а</w:t>
      </w:r>
      <w:proofErr w:type="gram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ль-Фараби</w:t>
      </w:r>
      <w:proofErr w:type="spell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, которые работают в нем на освобожденной основе от своей основной деятельности. Руководителем Проектного офиса назначается сотрудник Департамента Агентства.</w:t>
      </w:r>
    </w:p>
    <w:p w:rsidR="009C1115" w:rsidRPr="009C1115" w:rsidRDefault="009C1115" w:rsidP="009C111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3. Работу по обозначенным задачам обеспечивают соответствующие проектные группы. Координация и сопровождение деятельности проектных групп осуществляется руководителем и сотрудниками Проектного офиса. Состав проектных групп определяется из числа ответственных работников местных исполнительных органов города Алматы, организаций образования, общественных объединений, ассоциаций, экспертов и т.д. на неосвобожденной основе от своей основной деятельности.</w:t>
      </w:r>
    </w:p>
    <w:p w:rsidR="009C1115" w:rsidRPr="009C1115" w:rsidRDefault="009C1115" w:rsidP="009C111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Проектный офис дислоцируется в городе Алматы, что обосновано следующим. Алматы по праву считается городом студенчества и молодежи, здесь обучается каждый третий студент страны. В городе Алматы функционируют 38 из 127 казахстанских университетов, где обучается более 138 тысяч студентов высших учебных заведений (около 28% от всей студенческой молодежи республики). В городе также </w:t>
      </w:r>
      <w:proofErr w:type="gram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расположены</w:t>
      </w:r>
      <w:proofErr w:type="gram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84 колледжа и 245 средних школ. Более того, почти половина населения Алматы составляет молодежь до 35 лет. Численность молодых людей в возрасте от 14 до 35 лет превышает 777,9 тысяч человек, что составляет более 45% от общего числа молодежи по стране.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настоящее время основные вопросы системной работы по профилактике коррупции решаются в рамках Программы развития Алматы до 2020 года. В основу Программы заложены принципы Прозрачности, Подотчетности и Открытости. Программа предусматривает внедрение проектов, основывающихся на цифровых, «умных» технологиях, тем самым, обеспечивающих прозрачность и исключение условий для коррупции. Так, уже внедрены безналичные платежи на общественном транспорте, на безналичный расчет перешли платные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партковки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 безналичную оплату штрафов переходит в этом году дорожная полиция.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ускорения и повышения качества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госуслуг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прошлом году открыта общественная приемная «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Open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Almaty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». По принципу «одного окна» оказывают услуги городские управления, районные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акиматы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правоохранительные органы.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формирования привлекательного инвестиционного климата в электронный формат переведен процесс получения разрешений на строительство и подключение к коммунальным сетям.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прошлый год в 8 раз выросло количество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госуслуг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оказанных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электронном виде.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этом году 10 наиболее актуальных услуг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акимата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будет по принципу «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paper-free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» будет переведено в также в электронный формат.</w:t>
      </w:r>
      <w:proofErr w:type="gramEnd"/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Вся эта работа направлена  на формирование у горожан открытого мышления, правовой и финансовой культуры, ориентированной на неприятие коррупции как социального явления.</w:t>
      </w:r>
    </w:p>
    <w:p w:rsidR="009C1115" w:rsidRPr="009C1115" w:rsidRDefault="009C1115" w:rsidP="009C11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При Проектном офисе создается Экспертный совет, в состав которого входят представители Ассоциации вузов, Академии государственного управления при Президенте Республики Казахстан, Назарбаев Университета, Университета КАЗГЮУ, НПП «</w:t>
      </w:r>
      <w:proofErr w:type="spell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Атамекен</w:t>
      </w:r>
      <w:proofErr w:type="spell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», вузов, неправительственных организаций, общественных объединений и бизнес сообщества.</w:t>
      </w:r>
    </w:p>
    <w:p w:rsidR="009C1115" w:rsidRPr="009C1115" w:rsidRDefault="009C1115" w:rsidP="009C11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Экспертный совет заслушивает отчеты руководителя Проектного офиса, знакомится с планами и результатами работ Проектного офиса, дает оценку и рекомендации по реализации Проекта.</w:t>
      </w:r>
    </w:p>
    <w:p w:rsidR="009C1115" w:rsidRPr="009C1115" w:rsidRDefault="009C1115" w:rsidP="009C11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Решение основных задач Программы будет обеспечиваться Институтом антикоррупционных технологий, основной целью которого является объединение усилий ученых-юристов, экономистов, политологов, социологов, педагогов, специалистов в области информационных технологий, а также практиков для выработки новых доктринальных подходов и антикоррупционных технологий, направленных на искоренение коррупции путем формирования антикоррупционного мировоззрения; организация и проведение фундаментальных, поисковых и прикладных научных исследований, а также экспериментальных разработок антикоррупционного профиля.</w:t>
      </w:r>
      <w:proofErr w:type="gramEnd"/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Задачи Института: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привлечение научных, научно-педагогических работников, студентов, аспирантов, соискателей, докторантов, практических работников и любых других волонтеров к участию в деятельности, направленной на противодействие коррупции;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 конкретных технологий (методов, средств и способов), применяемых в антикоррупционной деятельности;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 и реализация образовательных программ, методических инструкций и рекомендаций;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осуществление научно-исследовательской и образовательной деятельности, выполнение работ и оказание услуг (курсы повышения квалификации, мониторинг, разработка рекомендаций, консультативная деятельность, социологические исследования и т.д.);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социологических опросов;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изучение и обобщение международно-правового опыта противодействия коррупции;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правовой, в том числе антикоррупционной, экспертизы действующего законодательства страны и проектов законов;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осуществление сотрудничества с казахстанскими и зарубежными партнерами по вопросам деятельности НИИ;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организация научно-практических конференций и иных мероприятий научного характера;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подготовка монографий, статей, научно-аналитических материалов, учебников, учебных пособий антикоррупционной направленности и внедрение их в учебный процесс организаций образования;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сбор, обработка и анализ информации, поступающей из Общественной приемной «Гражданский контроль».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Представленная структура составляет основу кластерного управления данным Проектом.</w:t>
      </w:r>
    </w:p>
    <w:p w:rsidR="009C1115" w:rsidRPr="009C1115" w:rsidRDefault="009C1115" w:rsidP="009C111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Проектные роли в группе управления проектом (Приложение №1).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Раздел 5. Структура управления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tbl>
      <w:tblPr>
        <w:tblW w:w="13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8"/>
      </w:tblGrid>
      <w:tr w:rsidR="009C1115" w:rsidRPr="009C1115" w:rsidTr="009C1115">
        <w:tc>
          <w:tcPr>
            <w:tcW w:w="137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Проектный офис</w:t>
            </w:r>
          </w:p>
        </w:tc>
      </w:tr>
    </w:tbl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tbl>
      <w:tblPr>
        <w:tblW w:w="13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8"/>
      </w:tblGrid>
      <w:tr w:rsidR="009C1115" w:rsidRPr="009C1115" w:rsidTr="009C1115">
        <w:tc>
          <w:tcPr>
            <w:tcW w:w="137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Экспертный совет</w:t>
            </w:r>
          </w:p>
        </w:tc>
      </w:tr>
    </w:tbl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2"/>
      </w:tblGrid>
      <w:tr w:rsidR="009C1115" w:rsidRPr="009C1115" w:rsidTr="009C1115">
        <w:tc>
          <w:tcPr>
            <w:tcW w:w="140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по Направлению 1</w:t>
            </w:r>
          </w:p>
        </w:tc>
      </w:tr>
      <w:tr w:rsidR="009C1115" w:rsidRPr="009C1115" w:rsidTr="009C1115">
        <w:tc>
          <w:tcPr>
            <w:tcW w:w="140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по  Направлению  2</w:t>
            </w:r>
          </w:p>
        </w:tc>
      </w:tr>
      <w:tr w:rsidR="009C1115" w:rsidRPr="009C1115" w:rsidTr="009C1115">
        <w:tc>
          <w:tcPr>
            <w:tcW w:w="140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по  Направлению  3</w:t>
            </w:r>
          </w:p>
        </w:tc>
      </w:tr>
      <w:tr w:rsidR="009C1115" w:rsidRPr="009C1115" w:rsidTr="009C1115">
        <w:tc>
          <w:tcPr>
            <w:tcW w:w="140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по  Направлению  4</w:t>
            </w:r>
          </w:p>
        </w:tc>
      </w:tr>
      <w:tr w:rsidR="009C1115" w:rsidRPr="009C1115" w:rsidTr="009C1115">
        <w:tc>
          <w:tcPr>
            <w:tcW w:w="1404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по  Направлению  5</w:t>
            </w:r>
          </w:p>
        </w:tc>
      </w:tr>
    </w:tbl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Раздел 6. Содержание Проекта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Направление 1. Антикоррупционная культура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Цель: Увеличение доли населения, не приемлющего проявлений коррупции  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Задачи: 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1) Повышение антикоррупционной грамотности всех субъектов сферы образования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2) Культивирование у субъектов сферы образования антикоррупционного поведения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3) Преобразование учащихся, студентов и преподавателей в проводников антикоррупционной политики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Анализ основных проблем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Современное общество предъявляет высокие требования к профессиональной подготовленности студентов. В сложившихся условиях актуальна потребность в антикоррупционной реализации разнообразных видов деятельности, понимания личностью целей и последствий своих действий для социума. </w:t>
      </w:r>
      <w:proofErr w:type="gram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Это означает, что одной из важнейшей целей образовательного процесса является 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формирование у будущих специалистов мышления, основанного на принципе неприятия коррупции при решении любых профессиональных и личностных задач.</w:t>
      </w:r>
      <w:proofErr w:type="gram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Следовательно, возникает необходимость в формировании особого вида культуры, учитывающего особенности деятельности человека в современных условиях антикоррупционной культуры. Республиканское ОО «Общество молодых профессионалов» в рамках проекта «Повышение потенциала молодежи Казахстана, участвующее в процессе принятия решений в отношении качества высшего образования», финансируемого Европейским союзом, провело социологический опрос среди казахстанских студентов по поводу коррупции в высших учебных заведениях. По результатам опроса, 55% респондентов подтвердили, что коррупция в вузах имеет место, при </w:t>
      </w:r>
      <w:proofErr w:type="gram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этом</w:t>
      </w:r>
      <w:proofErr w:type="gram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словам студентов, наиболее распространено мздоимство за экзамен или зачет. Также существует такая форма вымогательства, как требование купить книги или учебные материалы, оказать услугу. Имеет место непрозрачность в распределении мест в общежитиях. На вопрос: </w:t>
      </w:r>
      <w:proofErr w:type="gram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«Какие меры предпринимает администрация, если студенты информируют о коррупции?» — большинство респондентов ответило, что не знают случаев, когда бы кто-то на это жаловался (46,7%), некоторые затруднились ответить (23%), 9% отметили, что администрация такие обращения игнорирует, еще 9% сообщили, что разбирательства имеют место, но потом дело закрывают, лишь 12% сказали, что руководство увольняет вымогающих взятки преподавателей.</w:t>
      </w:r>
      <w:proofErr w:type="gramEnd"/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Также, нередко коррупционные правонарушения являются следствием слабой правовой грамотности граждан. Незнание гражданами своих прав дает возможность не чистым на руку людям использовать это в своих мошеннических целях и наживаться на этом.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Пути решения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Проведение системной и масштабной работы с субъектами Проекта по повышению их правовой и антикоррупционной грамотности, формированию сознания всеобщего неприятия коррупции, культивированию антикоррупционного поведения. Преобразование субъектов Проекта в «проводников» </w:t>
      </w:r>
      <w:proofErr w:type="spell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антикорруцпионной</w:t>
      </w:r>
      <w:proofErr w:type="spell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политики, в «агентов» перемен.</w:t>
      </w:r>
    </w:p>
    <w:p w:rsidR="009C1115" w:rsidRPr="009C1115" w:rsidRDefault="009C1115" w:rsidP="009C111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Основные мероприятия 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по направлению </w:t>
      </w:r>
      <w:r w:rsidRPr="009C111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 «Антикоррупционная культура»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700"/>
        <w:gridCol w:w="2835"/>
        <w:gridCol w:w="2977"/>
        <w:gridCol w:w="2693"/>
      </w:tblGrid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реализации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завершения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методических рекомендаций и программ по антикоррупционному обучению для каждой целевой категории лиц сферы образования </w:t>
            </w:r>
            <w:r w:rsidRPr="009C111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(обучающиеся, воспитатели, преподаватели, руководители учебных заведений, родители)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апрель — май 2018 года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методических рекомендаций, программ обучения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хэндбука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каждой целевой категории лиц всех уровней образования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июнь – июль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года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хэндбук</w:t>
            </w:r>
            <w:proofErr w:type="spellEnd"/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 программ обучения дисциплинами антикоррупционного образования </w:t>
            </w:r>
            <w:r w:rsidRPr="009C111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(включение дисциплин в программы дошкольного, среднего, среднего специального, высшего, послевузовского образования, повышения квалификации преподавателей, в планы работ с родителями)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июнь — август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года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Апробация новых программ антикоррупционного обучения в пилотных учебных заведениях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 организацией устойчивой обратной связи со стороны экспертов и психологов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2018 — 2019 учебный год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протокола апробации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Корректировка методических рекомендаций и программ по антикоррупционному обучению с учетом результатов их апробации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июнь – август 2019 года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Реализация программ антикоррупционного обучения во всех организациях образования страны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2019 — 2020 учебный год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решения МОН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системы оценки деятельности преподавателей для каждой категории организаций образования </w:t>
            </w:r>
            <w:r w:rsidRPr="009C111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(школы, колледжи, вузы)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июнь — август 2018 года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Методики оценки деятельности преподавателей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Апробация системы оценки деятельности преподавателей в пилотных организациях образования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9C111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 включением в методику оценки критериев, оценивающих применение преподавателями в своей работе антикоррупционных механизмов)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протокола апробации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Корректировка системы оценки деятельности преподавателей с учетом результатов её апробации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июнь – август 2019 года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Методика оценки деятельности преподавателей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Внедрение системы оценки деятельности преподавателей во всех учебных заведениях страны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2019 – 2020 учебный год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решения МОН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Создание и широкая трансляция фильмов, мультфильмов, социальных роликов,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вайнов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ютуб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канала и т.д. Проведение ANTICORRUPTION TALKS (открытые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дисскусионные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площадки на базе ВУЗов с участием известных общественных деятелей НПО, Гражданского альянса,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лидеров общественного мнения)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Постоянно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всего срока реализации проекта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медиа продукты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Проведение акций, форумов,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флэшмобов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челленджей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других массовых мероприятий, направленных на увеличение числа лиц, поддерживающих антикоррупционную политику государства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Постоянно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всего срока реализации проекта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Разъяснение среди родителей миссии и роли попечительских советов (по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апрель – июнь 2018 года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Создание попечительских советов во всех организациях образования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лматы</w:t>
            </w:r>
            <w:proofErr w:type="spellEnd"/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Повышение роли попечительских советов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  <w:tr w:rsidR="009C1115" w:rsidRPr="009C1115" w:rsidTr="009C1115">
        <w:tc>
          <w:tcPr>
            <w:tcW w:w="6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попечительских советов во всех организациях образования страны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НПА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№1</w:t>
            </w:r>
          </w:p>
        </w:tc>
      </w:tr>
    </w:tbl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Состав проектной группы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 по Направлению 1 (Приложение №2).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Направление 2. Прозрачные и открытые учебные заведения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Цель: Увеличение числа учебных заведений, деятельность которых полностью соответствует принципам открытости и прозрачности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Задачи: 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1) Автоматизация и оптимизация бизнес процессов организаций образования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2) Открытость и прозрачность принятия решений организациями образования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3) Открытость и прозрачность формирования и расходования бюджетов организаций образования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u-RU"/>
        </w:rPr>
        <w:t>1.Анализ основной проблемы.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Процесс выработки и принятия управленческих решений по-прежнему остается одним из самых закрытых, в 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связи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чем имеет высокие коррупционные риски. Более того, прямой контакт должностных лиц с населением при оказании услуг также является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коррупциогенным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Каждое учебное заведение в своей деятельности принимает множество решений. К примеру, в школах принимаются такие решения, как зачисление ребенка в школу, распределение учащихся по классам, оценивание качества знаний, прием на работу преподавателей и распределение часов между ними, перевод на домашнее обучение и т.д. 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 вузах принимаются решения по распределению мест в общежитиях, выделению университетского гранта на бесплатное обучение, переводу на другой вид обучения (дистанционное, вечернее, заочное), выдаче академического отпуска, выдача стипендии на обучение за рубежом в рамках программы обмена студентов и др. Местными исполнительными органами и уполномоченным органом в сфере образования принимаются решения по назначению руководителей учебных заведений, распределению грантов между ними и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т.д. Необходимо отметить, что действующие требования к кандидатам на должность ректоров государственных вузов 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очень минимальные</w:t>
      </w:r>
      <w:proofErr w:type="gramEnd"/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Каждое из решений, в случае принятия его единолично, может стать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коррупциогенным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полем, поскольку может приниматься в пользу отдельных лиц и возможно за вознаграждение.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Одним из действенных мер снижения коррупции является автоматизация, поскольку она сокращает условия, при которых может возникать коррупция, исключает человеческий фактор и контакт. К примеру, незамедлительная передача результатов аттестации с помощью информационных технологий в МОН для автоматического контроля исполнения предусмотренных регламентов позволило бы уменьшить возможности для коррупционных проявлений такого рода.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Однако действующие в МОН информационные системы «НОБД», «ЕСУВО», «ИАСУД ПНФО» не введены в промышленную эксплуатацию и в целях предупреждения коррупции используются не должным образом.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Также, по данным Комитета по статистике Министерства национальной экономики на 2017 год в Казахстане насчитывается более 470 тысяч студентов, 131 тысяча из которых учится в городе Алматы. По данным «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Жас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Отан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» – молодежного крыла правящей партии «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Нур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Отан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», в Алматы функционирует 94 студенческих общежитий на 30 тысяч мест, это означает, что место в общежитии достается лишь одному из четырех студентов в городе.  В данном случае у сотрудников вузов имеется возможность оказать предпочтение отдельным лицам.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Пути решения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. Необходимо провести анализ бизнес-процессов всех типов учебных заведений, сформировать перечень всех принимаемых ими решений и выработать предложения по обеспечению прозрачности по каждому решению учебных заведений посредством их автоматизации, внедрению института общественного контроля, создания коллегиальных органов, обеспечения открытости данных и других механизмов. К примеру, коррупционные риски процедуры принятия экзаменов у учащихся и студентов можно снизить путем внедрения обезличивания ответов экзаменуемых посредством их шифрования, а также разграничения между преподавателями функций обучения и принятия экзаменов.</w:t>
      </w:r>
    </w:p>
    <w:p w:rsidR="009C1115" w:rsidRPr="009C1115" w:rsidRDefault="009C1115" w:rsidP="009C111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Действующие и вновь создаваемые информационные системы </w:t>
      </w:r>
      <w:proofErr w:type="spell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МОНа</w:t>
      </w:r>
      <w:proofErr w:type="spell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управлений образования </w:t>
      </w:r>
      <w:proofErr w:type="spell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акиматов</w:t>
      </w:r>
      <w:proofErr w:type="spell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необходимо интегрировать со шлюзом электронного правительства. Проработать и принять меры по использованию действующих информационных систем для превенции коррупционных проявлений.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целях 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повышения эффективности отчетных встреч ректоров национальных вузов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населением предлагается утвердить типовой перечень вопросов, обязательных освещению на этих встречах, а также распространить этот инструмент на все вузы и колледжи страны, вне зависимости от их статуса и вида.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Основные мероприятия 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по направлению </w:t>
      </w:r>
      <w:r w:rsidRPr="009C111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 Прозрачные и открытые учебные заведения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4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482"/>
        <w:gridCol w:w="3118"/>
        <w:gridCol w:w="2835"/>
        <w:gridCol w:w="3402"/>
      </w:tblGrid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4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реализации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завершения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бизнес-процессов пилотных организаций образования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лматы</w:t>
            </w:r>
            <w:proofErr w:type="spellEnd"/>
          </w:p>
        </w:tc>
        <w:tc>
          <w:tcPr>
            <w:tcW w:w="3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— 3 квартал 2018 года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№2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перечня принимаемых решений организациями образования в разрезе их видов и типов</w:t>
            </w:r>
          </w:p>
        </w:tc>
        <w:tc>
          <w:tcPr>
            <w:tcW w:w="3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квартал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года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перечень решений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№2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Выработка предложений: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обеспечению прозрачности по каждому решению организаций образования;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оптимизации и автоматизации бизнес-процессов организаций образования</w:t>
            </w:r>
          </w:p>
        </w:tc>
        <w:tc>
          <w:tcPr>
            <w:tcW w:w="3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квартал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года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№2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Анализ сайтов организаций образования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лматы</w:t>
            </w:r>
            <w:proofErr w:type="spellEnd"/>
          </w:p>
        </w:tc>
        <w:tc>
          <w:tcPr>
            <w:tcW w:w="3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— 3 квартал 2018 года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№2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Направление во все организации образования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рекомендаций по наполнению сайтов</w:t>
            </w:r>
          </w:p>
        </w:tc>
        <w:tc>
          <w:tcPr>
            <w:tcW w:w="3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— 3 квартал 2018 года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№2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Разработка типового перечня вопросов, обязательного для освещения на </w:t>
            </w: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отчетных встречах ректоров национальных вузов с населением</w:t>
            </w:r>
          </w:p>
        </w:tc>
        <w:tc>
          <w:tcPr>
            <w:tcW w:w="3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 квартал 2018 года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типовой перечень вопросов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№2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Внедрение обязательных ежегодных отчетных встреч с населением для руководителей всех организаций образования</w:t>
            </w:r>
          </w:p>
        </w:tc>
        <w:tc>
          <w:tcPr>
            <w:tcW w:w="31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— 4 квартал 2018 года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в МОН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№2</w:t>
            </w:r>
          </w:p>
        </w:tc>
      </w:tr>
    </w:tbl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Состав проектной группы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 по Направлению 2 (Приложение №3).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Направление 3.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Академическая честность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Цель: Повышение качества обучения посредством внедрения антикоррупционных механизмов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Задачи: 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1) Формирование в организациях образования среды, не приемлющей «продажу оценок»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2) Стимулирование преподавателей к применению в практике антикоррупционных механизмов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3) Повышение среди учащихся и студентов культа знаний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4) Внедрение рейтинга вузов, колледжей и школ по обеспечению академической честности и внедрению антикоррупционных механизмов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Анализ основных проблем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. В целом, уровень развития образования в Казахстане высокий. Вследствие расширения сетей дошкольных организаций охват детей в возрасте 3-6 лет вырос до 85,8%. В среднем образовании отмечается высокий уровень охвата (98,1%). По качеству образования в начальных школах Казахстан входит в 15 лучших стран в рейтинге TIMSS.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тем, средний балл Казахстана по рейтингу PISA на 10% ниже аналогичного показателя стран ОЭСР, что указывает на необходимость повышения качества среднего образования.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 Глобальном индексе конкурентоспособности Казахстан занимает 68-е место по качеству среднего образования из 138 стран, 63-е место по качеству высшего образования, 70-е место по уровню подготовки и развития персонала и 100-е место по качеству школ менеджмента.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мировых рейтингах QS WUR отмечены всего восемь казахстанских вузов, из них только два вуза вошли в топ-300 и топ-400.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Одним из основных факторов, обеспечивающих высокий уровень качества образования, является академическая честность.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организациях образования страны на всех уровнях образования все ещё присутствует «продажа оценок», выставление незаслуженных высоких оценок превратилось на ментальном уровне в норму. В итоге при наличии достаточного количества вакансий уровень безработицы в стране составляет 4,9% (по данным stat.gov за 4 кв.2017 г.). При этом более 39% безработных составляет молодежь в возрасте 25-34 лет, уровень безработицы среди молодых людей этого возраста составляет 5,8%. Это именно тот возраст, когда молодые люди заканчивают обучение в высших учебных заведениях и послевузовское образование. Кроме того, из общего числа безработных более 71% составляют люди, имеющие высшее и профессиональное образование.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Пути решения. 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Создать условия, при которых организации образования будут заинтересованы в повышении академической культуры учащихся и студентов и, как её элемент, академической честности. В частности, предлагается создать независимый рейтинг вузов, колледжей и школ по обеспечению академической честности и внедрению антикоррупционных механизмов, который должен стать 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действенным инструментом в проведении организациями образования формализации и институционализации антикоррупционных процедур и мер по повышению академической этики, как учащихся, так и преподавательского состава.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Основные мероприятия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 по направлению </w:t>
      </w:r>
      <w:r w:rsidRPr="009C111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 Академическая честность</w:t>
      </w:r>
    </w:p>
    <w:tbl>
      <w:tblPr>
        <w:tblW w:w="14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40"/>
        <w:gridCol w:w="2693"/>
        <w:gridCol w:w="2552"/>
        <w:gridCol w:w="3827"/>
      </w:tblGrid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реализации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завершения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Разработка Правил соблюдения академической честности </w:t>
            </w: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Антикоррупционного обязательства для преподавателей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апрель — июнь 2018 года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правила,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обязательство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№3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Тиражирование Правил соблюдения академической честности </w:t>
            </w: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во все организации образования страны и Антикоррупционного обязательства для преподавателей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 в проектный офис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Проектная группа №3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Изучение опыта организаций образования, имеющих положительные результаты в обеспечении академической честности (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benchmarking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квартал 2018 года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№3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Разработать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benchmark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обеспечения академической честности и внедрения антикоррупционных механизмов для каждого типа учебного заведения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квартал 2018 года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№3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системы оценки деятельности преподавателей для каждой категории организации образования </w:t>
            </w:r>
            <w:r w:rsidRPr="009C111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(школы, колледжи, вузы)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июнь — август 2018 года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Методики оценки деятельности преподавателей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№3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Апробация системы оценки деятельности преподавателей в пилотных учебных заведениях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9C111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 включением в методику оценки критериев, оценивающих применение преподавателями в своей работе антикоррупционных механизмов)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протокола апробации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№3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Корректировка системы оценки деятельности преподавателей с учетом результатов её апробации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июнь – август 2019 года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Методика оценки деятельности преподавателей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№3</w:t>
            </w:r>
          </w:p>
        </w:tc>
      </w:tr>
      <w:tr w:rsidR="009C1115" w:rsidRPr="009C1115" w:rsidTr="009C1115"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Внедрение системы оценки деятельности преподавателей во всех организациях образования страны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2019 – 2020 учебный год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решения МОН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№3</w:t>
            </w:r>
          </w:p>
        </w:tc>
      </w:tr>
    </w:tbl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Состав проектной группы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 по Направлению 3 (Приложение №4).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Направление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4. Антикоррупционное законодательство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в сфере образования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Цель: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 </w:t>
      </w: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Исключение коллизий и коррупционных рисков в законодательстве, регулирующего сферу образования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Задачи: 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1) Исключение в законодательных и подзаконных актах коллизий и коррупционных рисков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2) Антикоррупционная экспертиза проектов законов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3) Внедрение в законодательство страны лучших международных практик в сфере противодействия коррупции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Анализ основных проблем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Несовершенство отраслевых законов является основным и наиболее актуальным фактором, способствующим коррупционным проявлениям. Нормы действующего казахстанского законодательства, в том числе в сфере образования, при </w:t>
      </w:r>
      <w:proofErr w:type="spell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правоприменении</w:t>
      </w:r>
      <w:proofErr w:type="spell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нередко создают условия для совершения коррупционных деяний, поскольку имеют правовые пробелы, коллизии, дискреционные полномочия и иные </w:t>
      </w:r>
      <w:proofErr w:type="spellStart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коррупциогенные</w:t>
      </w:r>
      <w:proofErr w:type="spellEnd"/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нормы, способствующие коррупции.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Граждане, как правило, не разбираются в тонкостях юриспруденции и потому им сложно правильно понимать и трактовать положения таких законов.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Так, внешним анализом коррупционных рисков, проведенным в деятельности Министерства образования и науки Республики Казахстан (далее — МОН), выявлены такие коррупционные риски, как несоответствие норм стандартов и регламентов государственных услуг иным нормативным правовым актам; отсутствие в стандартах государственных услуг перечня оснований отказа в их предоставлении; отсутствие в регламентах государственных услуг содержания процедур (действий);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отсутствие правовой регламентации деятельности конкурсных комиссий; закрепление в положениях учебных заведений, утверждаемых их внутренними актами, дискреционных полномочий первых руководителей при осуществлении 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кадровой политики, что часто исключает проведение конкурсных процедур при отборе кандидатов на вакантную должность; наличие правовых пробелов и коллизий в правовом регулировании вопросов конкурсного замещения руководителей государственных учреждений среднего образования.</w:t>
      </w:r>
      <w:proofErr w:type="gramEnd"/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примеру, согласно приказу МОН от 21 февраля 2012 года № 57 «Об утверждении Правил конкурсного замещении руководителей государственных учреждений среднего образования» (далее — Правила) конкурсное замещение руководителей государственных учреждений среднего образования проводится органом управления образования при наличии двух оснований: (1) если учреждение среднего образования имеет вакантную должность руководителя и (2) при наличии действующего руководителя по истечении каждых пяти лет его деятельности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данной должности. При этом второе основание для проведения конкурсного замещения противоречит пункту 2 статьи 139 Трудового кодекса РК (согласно данной норме конкурс организовывается и проводится государственным учреждением, казенным предприятием, имеющим </w:t>
      </w:r>
      <w:r w:rsidRPr="009C1115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u-RU"/>
        </w:rPr>
        <w:t>вакантную должность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Правилами не предусмотрена процедура по подведению итогов конкурса, что является серьезным правовым пробелом. Не достаточно регламентирована как в правовом, так и методическом плане, процедура собеседования, как часть конкурсных процедур.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того, требования, предъявляемые к кандидату на замещение руководителей государственных учреждений среднего образования в пункте 19 Правил не совпадают с квалификационными требованиями, установленными в приказе МОН от 13 июля 2009 года № 338 «Об утверждении Типовых квалификационных характеристик должностей педагогических работников и приравненных к ним лиц».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Также, Правилами не закреплены сроки полномочий членов комиссии, критерии и требования к членам комиссий при их отборе или назначении; процедуры ротации или пересмотра состава комиссий в течение четко определенного срока; нормы, устанавливающие формы принятия итогового решения членами комиссии (путем голосования (закрытого или открытого); нормы, исключающие конфликт интересов со стороны членов конкурсных комиссий;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требования и критерии оценки в отношении членов конкурсной комиссии при участии их в процессе собеседования и вынесения решения, что создает условия для принятия субъективного решения, не исключающего и коррупционную составляющую; не предусмотрены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требованияпо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видео/аудио фиксации процедур собеседования, являющихся важным инструментом противодействия коррупционным проявлениям и доказывания незаконных, субъективных решений конкурсных комиссий при проведении апелляций и обжалований.</w:t>
      </w:r>
      <w:proofErr w:type="gramEnd"/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Другой пример наличия правовых пробелов — Правила конкурсного замещения должностей профессорско-преподавательского состава и научных работников высших учебных заведений. Здесь не закреплены процедуры апелляций (обжалований) решений конкурсных комиссий, не прописаны четкие основания для проведения таких процедур, в том числе при выявлении явных нарушений прав и законных интересов кандидатов, требований указанных Правил, иных внутренних актов, а также антикоррупционного законодательства РК. Указанный пробел значительно ограничивает права и законные интересы кандидатов, претендующих на должность на обжалование незаконных и неправомерных 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действий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со стороны должностных лиц подведомственных организаций, так и конкурсной комиссии и не способствует выявлению коррупционных правонарушений и конфликта интересов, допущенных в ходе проведения конкурсных процедур.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Коллизии имеются и в Положении о диссертационном совете, утвержденном приказом МОН от 31 марта 2011 года №126 «Об утверждении типового Положения о диссертационном совете» (далее – Положение).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Так, согласно пункту 13 Положения диссертационный совет не позднее 10 (десяти) рабочих дней со дня приема документов определяет дату защиты диссертации. При этом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временной срок даты защиты диссертации со дня приема документов Положением не регламентирован, что может создавать риски, связанные с ускорением даты защиты.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14 указанного Положения допускается назначение одного из рецензентов из состава диссертационного совета, что противоречит принципам объективности и независимости и создает ситуацию конфликта интересов.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Согласно пункту 20 Положения ученый секретарь совета формирует аттестационное дело докторанта, которое направляется в Комитет в течение 30 (тридцати) календарных дней после защиты докторской диссертации. По истечении данного срока аттестационное дело к рассмотрению не принимается.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Действующая редакция Положения с необоснованной нормой об отказе в приеме создает предпосылки коррупционных рисков.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пункту 15 Положения диссертационный совет размещает перечень сведений о защитах докторантов и деятельности совета на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интернет-ресурсах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вуза, в том числе и видеозапись защиты, размещаемой в течение 5 месяцев.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Однако данная мера профилактического характера не в полной мере исполняется высшими учебными заведениями. Так, </w:t>
      </w:r>
      <w:proofErr w:type="gram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входе</w:t>
      </w:r>
      <w:proofErr w:type="gram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анализа деятельности МОН установлено, что в 83 материалах 2017 года по защите диссертационных работ в 23 отсутствовала видеозапись докторантов, защитивших диссертацию (выборочная проверка КСОН по состоянию на 21 ноября 2017 года, с учетом установленного срока количество размещенных видеозаписей может увеличиться).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Более того, в материалах экспертных заключений, членами Экспертного Совета указываются на факты предоставления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диссоветами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видеозаписи защиты не в полном объеме (наличие подтверждается отсутствием ответа докторанта в стенограмме защиты).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Такого рода нарушение обусловлено отсутствием в Положении норм по персональной ответственности членов диссертационного совета, что может способствовать возможным коррупционным проявлениям.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Пути решения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. Проведение на постоянной основе анализа нормативных правовых актов на предмет выявления коррупционных рисков, условий и причин, сопутствующих их возникновению. Анализ позволяет устранить возникновение административных барьеров при реализации прав и законных интересов физических и юридических лиц, правовых пробелов, наличие дискреционных полномочий, конфликта интересов.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Изучение международной практики в регулировании антикоррупционной деятельности позволит перенять наилучший опыт, приемлемый в казахстанских условиях.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Оценка коррупционных рисков, уровня их распространенности способствует выявлению пробелов в нормативно-правовых актах и выработке мер, направленных на совершенствование правоприменительной практики в процессе антикоррупционной деятельности.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Основные мероприятия 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по направлению 4. Антикоррупционное законодательство в сфере образования</w:t>
      </w:r>
    </w:p>
    <w:tbl>
      <w:tblPr>
        <w:tblW w:w="1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196"/>
        <w:gridCol w:w="2410"/>
        <w:gridCol w:w="1985"/>
        <w:gridCol w:w="3685"/>
      </w:tblGrid>
      <w:tr w:rsidR="009C1115" w:rsidRPr="009C1115" w:rsidTr="009C1115">
        <w:tc>
          <w:tcPr>
            <w:tcW w:w="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реализации</w:t>
            </w:r>
          </w:p>
        </w:tc>
        <w:tc>
          <w:tcPr>
            <w:tcW w:w="19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завершения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9C1115" w:rsidRPr="009C1115" w:rsidTr="009C1115">
        <w:tc>
          <w:tcPr>
            <w:tcW w:w="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1115" w:rsidRPr="009C1115" w:rsidTr="009C1115">
        <w:trPr>
          <w:trHeight w:val="1694"/>
        </w:trPr>
        <w:tc>
          <w:tcPr>
            <w:tcW w:w="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законодательства в сфере образования на предмет выявления коллизий и коррупционных рисков: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законов; подзаконных актов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– 3 квартал 2018 года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– 4 квартал 2018 года</w:t>
            </w:r>
          </w:p>
        </w:tc>
        <w:tc>
          <w:tcPr>
            <w:tcW w:w="19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№4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1115" w:rsidRPr="009C1115" w:rsidTr="009C1115">
        <w:tc>
          <w:tcPr>
            <w:tcW w:w="6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Выработка предложений по внесению поправок в </w:t>
            </w: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НПА</w:t>
            </w:r>
          </w:p>
        </w:tc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– 4 квартал 2018 года</w:t>
            </w:r>
          </w:p>
        </w:tc>
        <w:tc>
          <w:tcPr>
            <w:tcW w:w="19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НПА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№4</w:t>
            </w:r>
          </w:p>
        </w:tc>
      </w:tr>
    </w:tbl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Состав проектной группы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 по Направлению 4 (Приложение №5).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Направление 5. Информационная поддержка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Цель: Правильное информирование населения  о  целях и задачах проекта и проводимой работе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Задачи: </w:t>
      </w: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1) Мощное информационное сопровождение Проекта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Обеспечение эффективной «обратной связи» через СМИ, в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т.ч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. социальные сети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3) Максимальное вовлечение в Проект граждан, экспертов, общественных деятелей, субъектов сферы образования и науки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Анализ основных проблем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. Существующее информационное поле недостаточно способствует консолидации общества в формировании всеобщего неприятия к проявлениям коррупции. Отсутствует системная информационная работа по формированию антикоррупционной модели поведения граждан. Недостаточно задействовано интернет-пространство.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настоящее время, медиа — источники представляют собой круг журналистов, которые обеспечивают оперативное информирование населения о новостных событиях. Однако зачастую, эти новости они берут не из прямых источников, а пересоздают из отдельных контекстов и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подисточников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тем самым, не всегда точно и четко обеспечивая население правильной и полной сутью проводимых мероприятий. Поэтому, требуется не только регулировать корректность информационного донесения, но еще совершенствовать журналистскую этику.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Учитывая, что наибольшими пользователями сетей является молодежь, которая, зачастую, следит за новостями в социальных сетях, с учетом их возрастных особенностей и понимания ситуаций, требуется, чтобы пиар-менеджер обеспечивал грамотное донесение до разного контингента лиц необходимой информации. Эта работа заключается в правильном подборе экспертов, которыми должен правильно проводиться мониторинг сетей, различного рода информаций для размещения в сетях, что позволит правильно сформировать у молодежи объективное мировоззрение, направленное на минимизацию коррупционных рисков.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имиджевая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работа является не разовой кампанией, а частью ежедневной работы организации, направленной на реализацию целей и задач, главная задача нашего ведомства — это создание благоприятного мнения среди населения о проводимых антикоррупционных мерах и укреплению доверия к институту государственной власти.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Пути решения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. Информационная работа должна строиться системно. Информация о реализации проекта должна тщательно готовиться отдельно для каждой целевой категории. Предварительно содержание и формат подачи информации должны оцениваться психологами на предмет ее восприятия той или иной категорией лиц.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Должна быть создана специальная PR-группа из числа журналистов,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блогеров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общественных деятелей, активных студентов и учащихся, которые непосредственно будут заниматься созданием информационного поля по реализации проекта. Они должны быть обучены навыкам правильной подачи информации и другим медиа-технологиям и пройти соответствующие тренинги (ораторского мастерства, </w:t>
      </w:r>
      <w:proofErr w:type="spellStart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спичрайтингу</w:t>
      </w:r>
      <w:proofErr w:type="spellEnd"/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т.д.).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определенной группы PR-экспертов, которые на постоянной основе будут проводить мониторинг социальных сетей, СМИ, анализировать информационные сайты, комментарии в целях получения обратной связи.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Основные мероприятия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 по направлению </w:t>
      </w:r>
      <w:r w:rsidRPr="009C111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5. Информационная поддержка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tbl>
      <w:tblPr>
        <w:tblW w:w="12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5348"/>
        <w:gridCol w:w="1701"/>
        <w:gridCol w:w="1559"/>
        <w:gridCol w:w="3261"/>
      </w:tblGrid>
      <w:tr w:rsidR="009C1115" w:rsidRPr="009C1115" w:rsidTr="009C1115">
        <w:tc>
          <w:tcPr>
            <w:tcW w:w="6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завершения</w:t>
            </w:r>
          </w:p>
        </w:tc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9C1115" w:rsidRPr="009C1115" w:rsidTr="009C1115">
        <w:tc>
          <w:tcPr>
            <w:tcW w:w="6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1115" w:rsidRPr="009C1115" w:rsidTr="009C1115">
        <w:tc>
          <w:tcPr>
            <w:tcW w:w="6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Формирование PR-группы из числа журналистов,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общественных деятелей, активных студентов и учащихся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апрель 2018 года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проектного  офиса</w:t>
            </w:r>
          </w:p>
        </w:tc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№5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C1115" w:rsidRPr="009C1115" w:rsidTr="009C1115">
        <w:tc>
          <w:tcPr>
            <w:tcW w:w="6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Формирование активных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Media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Marketing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(Маркетинг в социальных сетях (англ.)</w:t>
            </w:r>
            <w:proofErr w:type="gram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апрель 2018 года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проектного  офиса</w:t>
            </w:r>
          </w:p>
        </w:tc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№5</w:t>
            </w:r>
          </w:p>
        </w:tc>
      </w:tr>
      <w:tr w:rsidR="009C1115" w:rsidRPr="009C1115" w:rsidTr="009C1115">
        <w:tc>
          <w:tcPr>
            <w:tcW w:w="6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Создание собственного сайта,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ютуб</w:t>
            </w:r>
            <w:proofErr w:type="spellEnd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-канала, интернет-канала, </w:t>
            </w:r>
            <w:proofErr w:type="spellStart"/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Call-center</w:t>
            </w:r>
            <w:proofErr w:type="spellEnd"/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апрель 2018 года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проектного  офиса</w:t>
            </w:r>
          </w:p>
        </w:tc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№5</w:t>
            </w:r>
          </w:p>
        </w:tc>
      </w:tr>
      <w:tr w:rsidR="009C1115" w:rsidRPr="009C1115" w:rsidTr="009C1115">
        <w:tc>
          <w:tcPr>
            <w:tcW w:w="6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Постоянное обучение PR-группы навыкам правильной подачи информации и другим медиа-технологиям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всего срока работы проектного офиса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проектного  офиса</w:t>
            </w:r>
          </w:p>
        </w:tc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№5</w:t>
            </w:r>
          </w:p>
        </w:tc>
      </w:tr>
      <w:tr w:rsidR="009C1115" w:rsidRPr="009C1115" w:rsidTr="009C1115">
        <w:tc>
          <w:tcPr>
            <w:tcW w:w="6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списка экспертов, представителей общественности, видных деятелей, которые будут создавать в информационном поле положительное мнение о работе проектного офиса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апрель – май 2018 года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проектного  офиса</w:t>
            </w:r>
          </w:p>
        </w:tc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№5</w:t>
            </w:r>
          </w:p>
        </w:tc>
      </w:tr>
      <w:tr w:rsidR="009C1115" w:rsidRPr="009C1115" w:rsidTr="009C1115">
        <w:tc>
          <w:tcPr>
            <w:tcW w:w="6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Постоянный мониторинг в СМИ информации и комментариев о работе проектного офиса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течение всего срока работы проектного офиса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</w:t>
            </w:r>
          </w:p>
          <w:p w:rsidR="009C1115" w:rsidRPr="009C1115" w:rsidRDefault="009C1115" w:rsidP="009C1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11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проектного  офиса</w:t>
            </w:r>
          </w:p>
        </w:tc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группа №5</w:t>
            </w:r>
          </w:p>
        </w:tc>
      </w:tr>
    </w:tbl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Состав проектной группы</w:t>
      </w: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 по Направлению 4 (Приложение №4).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Раздел 7. Ожидаемые результаты Проекта</w:t>
      </w:r>
    </w:p>
    <w:p w:rsidR="009C1115" w:rsidRPr="009C1115" w:rsidRDefault="009C1115" w:rsidP="009C111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Увеличение доли населения, поддерживающего антикоррупционную политику государства и не приемлющего коррупцию через систему образования;</w:t>
      </w:r>
    </w:p>
    <w:p w:rsidR="009C1115" w:rsidRPr="009C1115" w:rsidRDefault="009C1115" w:rsidP="009C111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Повышение качества обучения внедрения антикоррупционных механизмов;</w:t>
      </w:r>
    </w:p>
    <w:p w:rsidR="009C1115" w:rsidRPr="009C1115" w:rsidRDefault="009C1115" w:rsidP="009C111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Создание Системы противодействия коррупции в формате кластера;</w:t>
      </w:r>
    </w:p>
    <w:p w:rsidR="009C1115" w:rsidRPr="009C1115" w:rsidRDefault="009C1115" w:rsidP="009C111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C1115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и внедрение инновационных антикоррупционных технологий на основе научного подхода.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Раздел 8. Ограничения и допущения</w:t>
      </w:r>
    </w:p>
    <w:p w:rsidR="009C1115" w:rsidRPr="009C1115" w:rsidRDefault="009C1115" w:rsidP="009C11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C1115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tbl>
      <w:tblPr>
        <w:tblW w:w="14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8079"/>
      </w:tblGrid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Описание</w:t>
            </w:r>
          </w:p>
        </w:tc>
      </w:tr>
      <w:tr w:rsidR="009C1115" w:rsidRPr="009C1115" w:rsidTr="009C1115">
        <w:tc>
          <w:tcPr>
            <w:tcW w:w="1489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Ограничения</w:t>
            </w:r>
          </w:p>
        </w:tc>
      </w:tr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Финансирование мероприятий, реализуемых в рамках Проекта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Недостаточность (отсутствие) в бюджете государственного органа на текущий год средств на мероприятия, проводимые в рамках реализации Проекта</w:t>
            </w:r>
          </w:p>
        </w:tc>
      </w:tr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Необходимость проведения государственных закупок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Длительность процедуры государственных закупок</w:t>
            </w:r>
          </w:p>
        </w:tc>
      </w:tr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Слабая координация и взаимодействие организаторов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Низкая вовлеченность кадров, курирующих проекты, длительные процедуры внутреннего согласования в государственных органах, отсутствие понимания лицами, вовлеченными в Проект, проводимой работы</w:t>
            </w:r>
          </w:p>
        </w:tc>
      </w:tr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Загруженность членов проектных групп на основной работе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Недостаточная активность, срыв сроков исполнения мероприятий членами проектных групп ввиду их занятости на основной работе</w:t>
            </w:r>
          </w:p>
        </w:tc>
      </w:tr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Недостаточность ресурсов для реализации Проекта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Недостаточное число людей, задействованных в проектных группах</w:t>
            </w:r>
          </w:p>
        </w:tc>
      </w:tr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действующего законодательства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Запреты и ограничения на выполнение тех или иных действий, регламентированные нормативными правовыми актами</w:t>
            </w:r>
          </w:p>
        </w:tc>
      </w:tr>
      <w:tr w:rsidR="009C1115" w:rsidRPr="009C1115" w:rsidTr="009C1115">
        <w:tc>
          <w:tcPr>
            <w:tcW w:w="1489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Допущения</w:t>
            </w:r>
          </w:p>
        </w:tc>
      </w:tr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сроков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Пересмотр сроков реализации задач, мероприятий, ключевых дат в работе Проектного Офиса</w:t>
            </w:r>
          </w:p>
        </w:tc>
      </w:tr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Финансирование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Возможность финансовой поддержки Проекта в рамках других республиканских и региональных проектов и мероприятий</w:t>
            </w:r>
          </w:p>
        </w:tc>
      </w:tr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состава проектных групп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Возможность расширения (изменения) численного состава проектных групп, изменения проектных ролей членов групп управления проектами</w:t>
            </w:r>
          </w:p>
        </w:tc>
      </w:tr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Внесение изменений и  дополнений в настоящий Устав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Возможность доработки настоящего Устава с учетом приоритетности задач, изменения обстоятельств в ходе реализации Проекта</w:t>
            </w:r>
          </w:p>
        </w:tc>
      </w:tr>
      <w:tr w:rsidR="009C1115" w:rsidRPr="009C1115" w:rsidTr="009C1115">
        <w:tc>
          <w:tcPr>
            <w:tcW w:w="6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Привлечение специалистов разных профилей</w:t>
            </w:r>
          </w:p>
        </w:tc>
        <w:tc>
          <w:tcPr>
            <w:tcW w:w="8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1115" w:rsidRPr="009C1115" w:rsidRDefault="009C1115" w:rsidP="009C111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C11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Возможность привлечения к работе специалистов на короткое или длительное время </w:t>
            </w:r>
            <w:r w:rsidRPr="009C111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(аналитики, психологи, представители СМИ, </w:t>
            </w:r>
            <w:proofErr w:type="spellStart"/>
            <w:r w:rsidRPr="009C111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конфликтологи</w:t>
            </w:r>
            <w:proofErr w:type="spellEnd"/>
            <w:r w:rsidRPr="009C1115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 IT-специалисты)</w:t>
            </w:r>
          </w:p>
        </w:tc>
      </w:tr>
    </w:tbl>
    <w:p w:rsidR="00B97590" w:rsidRPr="009C1115" w:rsidRDefault="00B97590" w:rsidP="009C1115">
      <w:pPr>
        <w:spacing w:after="0" w:line="240" w:lineRule="auto"/>
        <w:jc w:val="both"/>
      </w:pPr>
    </w:p>
    <w:sectPr w:rsidR="00B97590" w:rsidRPr="009C1115" w:rsidSect="009C11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3F"/>
    <w:multiLevelType w:val="multilevel"/>
    <w:tmpl w:val="5B58A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6D48"/>
    <w:multiLevelType w:val="multilevel"/>
    <w:tmpl w:val="615A1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04D61"/>
    <w:multiLevelType w:val="multilevel"/>
    <w:tmpl w:val="8988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D3D50"/>
    <w:multiLevelType w:val="multilevel"/>
    <w:tmpl w:val="F0EA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514F3"/>
    <w:multiLevelType w:val="multilevel"/>
    <w:tmpl w:val="BDA29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56F5B"/>
    <w:multiLevelType w:val="multilevel"/>
    <w:tmpl w:val="77568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95744"/>
    <w:multiLevelType w:val="multilevel"/>
    <w:tmpl w:val="11EAA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2763D"/>
    <w:multiLevelType w:val="multilevel"/>
    <w:tmpl w:val="BDB0A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81A08"/>
    <w:multiLevelType w:val="multilevel"/>
    <w:tmpl w:val="B7F48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C0CAD"/>
    <w:multiLevelType w:val="multilevel"/>
    <w:tmpl w:val="F77A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44675"/>
    <w:multiLevelType w:val="multilevel"/>
    <w:tmpl w:val="803E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20D50"/>
    <w:multiLevelType w:val="multilevel"/>
    <w:tmpl w:val="DCB6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872E8"/>
    <w:multiLevelType w:val="multilevel"/>
    <w:tmpl w:val="0CEC1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B6A28"/>
    <w:multiLevelType w:val="multilevel"/>
    <w:tmpl w:val="82F43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500A34"/>
    <w:multiLevelType w:val="multilevel"/>
    <w:tmpl w:val="2C506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17705"/>
    <w:multiLevelType w:val="multilevel"/>
    <w:tmpl w:val="76C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81BAC"/>
    <w:multiLevelType w:val="multilevel"/>
    <w:tmpl w:val="946A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B0E05"/>
    <w:multiLevelType w:val="multilevel"/>
    <w:tmpl w:val="2F1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4537C"/>
    <w:multiLevelType w:val="multilevel"/>
    <w:tmpl w:val="0A7A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371D3"/>
    <w:multiLevelType w:val="multilevel"/>
    <w:tmpl w:val="13249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E5A8F"/>
    <w:multiLevelType w:val="multilevel"/>
    <w:tmpl w:val="B71C1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81661"/>
    <w:multiLevelType w:val="multilevel"/>
    <w:tmpl w:val="8F703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184954"/>
    <w:multiLevelType w:val="multilevel"/>
    <w:tmpl w:val="E32A5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45010"/>
    <w:multiLevelType w:val="multilevel"/>
    <w:tmpl w:val="938A8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E67BA"/>
    <w:multiLevelType w:val="multilevel"/>
    <w:tmpl w:val="41220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D1B92"/>
    <w:multiLevelType w:val="multilevel"/>
    <w:tmpl w:val="BAB40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20727"/>
    <w:multiLevelType w:val="multilevel"/>
    <w:tmpl w:val="2D86C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67000"/>
    <w:multiLevelType w:val="multilevel"/>
    <w:tmpl w:val="F7B8C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22"/>
  </w:num>
  <w:num w:numId="9">
    <w:abstractNumId w:val="14"/>
  </w:num>
  <w:num w:numId="10">
    <w:abstractNumId w:val="15"/>
  </w:num>
  <w:num w:numId="11">
    <w:abstractNumId w:val="27"/>
  </w:num>
  <w:num w:numId="12">
    <w:abstractNumId w:val="26"/>
  </w:num>
  <w:num w:numId="13">
    <w:abstractNumId w:val="6"/>
  </w:num>
  <w:num w:numId="14">
    <w:abstractNumId w:val="5"/>
  </w:num>
  <w:num w:numId="15">
    <w:abstractNumId w:val="12"/>
  </w:num>
  <w:num w:numId="16">
    <w:abstractNumId w:val="18"/>
  </w:num>
  <w:num w:numId="17">
    <w:abstractNumId w:val="4"/>
  </w:num>
  <w:num w:numId="18">
    <w:abstractNumId w:val="24"/>
  </w:num>
  <w:num w:numId="19">
    <w:abstractNumId w:val="21"/>
  </w:num>
  <w:num w:numId="20">
    <w:abstractNumId w:val="17"/>
  </w:num>
  <w:num w:numId="21">
    <w:abstractNumId w:val="1"/>
  </w:num>
  <w:num w:numId="22">
    <w:abstractNumId w:val="8"/>
  </w:num>
  <w:num w:numId="23">
    <w:abstractNumId w:val="19"/>
  </w:num>
  <w:num w:numId="24">
    <w:abstractNumId w:val="9"/>
  </w:num>
  <w:num w:numId="25">
    <w:abstractNumId w:val="13"/>
  </w:num>
  <w:num w:numId="26">
    <w:abstractNumId w:val="20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A8"/>
    <w:rsid w:val="009C1115"/>
    <w:rsid w:val="00B97590"/>
    <w:rsid w:val="00BD10FA"/>
    <w:rsid w:val="00C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6962</Words>
  <Characters>39689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Жанабергенова</dc:creator>
  <cp:lastModifiedBy>1</cp:lastModifiedBy>
  <cp:revision>2</cp:revision>
  <cp:lastPrinted>2018-09-29T04:26:00Z</cp:lastPrinted>
  <dcterms:created xsi:type="dcterms:W3CDTF">2018-09-29T04:28:00Z</dcterms:created>
  <dcterms:modified xsi:type="dcterms:W3CDTF">2018-09-29T04:28:00Z</dcterms:modified>
</cp:coreProperties>
</file>